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190647" w:rsidRDefault="004D7E14" w:rsidP="005D6433">
      <w:pPr>
        <w:autoSpaceDE w:val="0"/>
        <w:autoSpaceDN w:val="0"/>
        <w:adjustRightInd w:val="0"/>
        <w:spacing w:line="276" w:lineRule="auto"/>
        <w:rPr>
          <w:rFonts w:cs="AvenirNextLTPro-Bold"/>
          <w:b/>
          <w:bCs/>
          <w:sz w:val="40"/>
          <w:szCs w:val="40"/>
        </w:rPr>
      </w:pPr>
      <w:r w:rsidRPr="00190647">
        <w:rPr>
          <w:rFonts w:cs="AvenirNextLTPro-Bold"/>
          <w:b/>
          <w:bCs/>
          <w:sz w:val="40"/>
          <w:szCs w:val="40"/>
        </w:rPr>
        <w:t>Sortenrein fräsen, wirtschaftlich recyceln</w:t>
      </w:r>
    </w:p>
    <w:p w:rsidR="002E765F" w:rsidRPr="00190647" w:rsidRDefault="002E765F" w:rsidP="005D6433">
      <w:pPr>
        <w:pStyle w:val="Text"/>
        <w:spacing w:line="276" w:lineRule="auto"/>
      </w:pPr>
    </w:p>
    <w:p w:rsidR="002E765F" w:rsidRPr="00190647" w:rsidRDefault="004D7E14" w:rsidP="005D6433">
      <w:pPr>
        <w:pStyle w:val="Text"/>
        <w:spacing w:line="276" w:lineRule="auto"/>
        <w:rPr>
          <w:b/>
        </w:rPr>
      </w:pPr>
      <w:r w:rsidRPr="00190647">
        <w:rPr>
          <w:b/>
        </w:rPr>
        <w:t xml:space="preserve">Bei Sanierungsarbeiten nahe Tokio baut eine Großfräse W 210 die Deck- und Binderschicht auf dem </w:t>
      </w:r>
      <w:proofErr w:type="spellStart"/>
      <w:r w:rsidRPr="00190647">
        <w:rPr>
          <w:b/>
        </w:rPr>
        <w:t>Jōban</w:t>
      </w:r>
      <w:proofErr w:type="spellEnd"/>
      <w:r w:rsidRPr="00190647">
        <w:rPr>
          <w:b/>
        </w:rPr>
        <w:t xml:space="preserve"> </w:t>
      </w:r>
      <w:proofErr w:type="spellStart"/>
      <w:r w:rsidRPr="00190647">
        <w:rPr>
          <w:b/>
        </w:rPr>
        <w:t>Expressway</w:t>
      </w:r>
      <w:proofErr w:type="spellEnd"/>
      <w:r w:rsidRPr="00190647">
        <w:rPr>
          <w:b/>
        </w:rPr>
        <w:t xml:space="preserve"> schichtweise aus. Das </w:t>
      </w:r>
      <w:proofErr w:type="spellStart"/>
      <w:r w:rsidRPr="00190647">
        <w:rPr>
          <w:b/>
        </w:rPr>
        <w:t>Fräsgut</w:t>
      </w:r>
      <w:proofErr w:type="spellEnd"/>
      <w:r w:rsidRPr="00190647">
        <w:rPr>
          <w:b/>
        </w:rPr>
        <w:t xml:space="preserve"> kann so einfacher nach Mischgutarten getrennt und zielgerichtet wiederverwendet werden. Die Wirtgen Frästechnologie macht das Ganze besonders wirtschaftlich.</w:t>
      </w:r>
    </w:p>
    <w:p w:rsidR="0031036B" w:rsidRPr="00190647" w:rsidRDefault="0031036B" w:rsidP="005D6433">
      <w:pPr>
        <w:pStyle w:val="Text"/>
        <w:spacing w:line="276" w:lineRule="auto"/>
        <w:rPr>
          <w:noProof/>
          <w:lang w:eastAsia="de-DE"/>
        </w:rPr>
      </w:pPr>
    </w:p>
    <w:p w:rsidR="00383A88" w:rsidRPr="00190647" w:rsidRDefault="00383A88" w:rsidP="005D6433">
      <w:pPr>
        <w:pStyle w:val="Text"/>
        <w:spacing w:line="276" w:lineRule="auto"/>
      </w:pPr>
      <w:r w:rsidRPr="00190647">
        <w:t xml:space="preserve">Die Stadt Mito liegt rund 140 km nordöstlich von Tokio und beherbergt mit dem </w:t>
      </w:r>
      <w:proofErr w:type="spellStart"/>
      <w:r w:rsidRPr="00190647">
        <w:t>Kairaku</w:t>
      </w:r>
      <w:proofErr w:type="spellEnd"/>
      <w:r w:rsidRPr="00190647">
        <w:t xml:space="preserve">-en einen der drei berühmten Gärten Japans, die das Ideal eines perfekten Landschaftsgartens verkörpern. Eine fachgerechte Pflege ist da unerlässlich, wie bei Straßen, die von Zeit zu Zeit saniert werden müssen. Für den selektiven Ausbau der Fahrbahn auf dem </w:t>
      </w:r>
      <w:proofErr w:type="spellStart"/>
      <w:r w:rsidRPr="00190647">
        <w:t>Jōban</w:t>
      </w:r>
      <w:proofErr w:type="spellEnd"/>
      <w:r w:rsidRPr="00190647">
        <w:t xml:space="preserve"> </w:t>
      </w:r>
      <w:proofErr w:type="spellStart"/>
      <w:r w:rsidRPr="00190647">
        <w:t>Expressway</w:t>
      </w:r>
      <w:proofErr w:type="spellEnd"/>
      <w:r w:rsidRPr="00190647">
        <w:t xml:space="preserve"> setzte das Bauunternehmen </w:t>
      </w:r>
      <w:proofErr w:type="spellStart"/>
      <w:r w:rsidRPr="00190647">
        <w:t>Unite</w:t>
      </w:r>
      <w:proofErr w:type="spellEnd"/>
      <w:r w:rsidRPr="00190647">
        <w:t xml:space="preserve"> Co., Ltd. auf modernste Frästechnologie von </w:t>
      </w:r>
      <w:r w:rsidR="0031036B" w:rsidRPr="00190647">
        <w:t>Wirtgen</w:t>
      </w:r>
      <w:r w:rsidRPr="00190647">
        <w:t>. Im Einsatz: der leistungsstarke Zweimeter-Frontlader W 210.</w:t>
      </w:r>
    </w:p>
    <w:p w:rsidR="00383A88" w:rsidRPr="00190647" w:rsidRDefault="00383A88" w:rsidP="005D6433">
      <w:pPr>
        <w:pStyle w:val="Text"/>
        <w:spacing w:line="276" w:lineRule="auto"/>
      </w:pPr>
    </w:p>
    <w:p w:rsidR="00383A88" w:rsidRPr="00190647" w:rsidRDefault="00383A88" w:rsidP="005D6433">
      <w:pPr>
        <w:pStyle w:val="Text"/>
        <w:spacing w:line="276" w:lineRule="auto"/>
        <w:rPr>
          <w:color w:val="FF0000"/>
        </w:rPr>
      </w:pPr>
      <w:r w:rsidRPr="00190647">
        <w:t xml:space="preserve">Während der Verkehr auf einer Spur weiterfließen konnte, startete die 500 kW starke Großfräse mit dem Ausbau der beschädigten Streckenabschnitte. „Unsere Maschine ist mit dem </w:t>
      </w:r>
      <w:proofErr w:type="spellStart"/>
      <w:r w:rsidRPr="00190647">
        <w:t>Vacuum</w:t>
      </w:r>
      <w:proofErr w:type="spellEnd"/>
      <w:r w:rsidRPr="00190647">
        <w:t xml:space="preserve"> </w:t>
      </w:r>
      <w:proofErr w:type="spellStart"/>
      <w:r w:rsidRPr="00190647">
        <w:t>Cutting</w:t>
      </w:r>
      <w:proofErr w:type="spellEnd"/>
      <w:r w:rsidRPr="00190647">
        <w:t xml:space="preserve"> System (VCS) ausgestattet“, erklärt Baustellenleiter Mr. Koji Yamada. Die von </w:t>
      </w:r>
      <w:r w:rsidR="00444B69" w:rsidRPr="00190647">
        <w:t xml:space="preserve">Wirtgen </w:t>
      </w:r>
      <w:r w:rsidRPr="00190647">
        <w:t xml:space="preserve">entwickelte Absauganlage VCS wurde in Japan vor fünf Jahren in das New Technology Information System (NETIS) vom Ministerium für Land, Infrastruktur, Verkehr und Tourismus aufgenommen. </w:t>
      </w:r>
    </w:p>
    <w:p w:rsidR="00265D84" w:rsidRPr="00190647" w:rsidRDefault="00265D84" w:rsidP="005D6433">
      <w:pPr>
        <w:pStyle w:val="Text"/>
        <w:spacing w:line="276" w:lineRule="auto"/>
      </w:pPr>
    </w:p>
    <w:p w:rsidR="00265D84" w:rsidRPr="00190647" w:rsidRDefault="00265D84" w:rsidP="005D6433">
      <w:pPr>
        <w:autoSpaceDE w:val="0"/>
        <w:autoSpaceDN w:val="0"/>
        <w:adjustRightInd w:val="0"/>
        <w:spacing w:line="276" w:lineRule="auto"/>
        <w:rPr>
          <w:rFonts w:cs="AvenirNextLTPro-Bold"/>
          <w:b/>
          <w:bCs/>
          <w:sz w:val="22"/>
          <w:szCs w:val="22"/>
        </w:rPr>
      </w:pPr>
      <w:r w:rsidRPr="00190647">
        <w:rPr>
          <w:rFonts w:cs="AvenirNextLTPro-Bold"/>
          <w:b/>
          <w:bCs/>
          <w:sz w:val="22"/>
          <w:szCs w:val="22"/>
        </w:rPr>
        <w:t>Intelligentes Fräsen: ökonomisch und ökologisch wertvoll</w:t>
      </w:r>
    </w:p>
    <w:p w:rsidR="00EE134E" w:rsidRDefault="00265D84" w:rsidP="005D6433">
      <w:pPr>
        <w:pStyle w:val="Text"/>
        <w:spacing w:line="276" w:lineRule="auto"/>
      </w:pPr>
      <w:r w:rsidRPr="00190647">
        <w:t xml:space="preserve">Um die Risse im Straßenbelag zu beseitigen, war die Großfräse in Mito mit einer Standardfräswalze ausgestattet. Nach dem Ausbau der 10 cm dicken Deckschicht fräste die W 210 in einem zweiten Arbeitsgang die Binderschicht 15 cm tief. Durch die Trennung des </w:t>
      </w:r>
      <w:proofErr w:type="spellStart"/>
      <w:r w:rsidRPr="00190647">
        <w:t>Fräsguts</w:t>
      </w:r>
      <w:proofErr w:type="spellEnd"/>
      <w:r w:rsidRPr="00190647">
        <w:t xml:space="preserve"> nach Mischgutarten konnten beide Schichten entsprechend ihrer bautechnischen Eignung und ihrer qualitativen Eigenschaften dem Materialkreislauf zur erneuten Nutzung zugeführt werden. Allein die selektive Rückgewinnung des Materials bietet aus umwelttechnischen und wirtschaftlichen Gesichtspunkten deutliche Vorteile. Rechnet man dann noch den Faktor </w:t>
      </w:r>
      <w:r w:rsidR="004828C0">
        <w:t>„</w:t>
      </w:r>
      <w:r w:rsidRPr="00190647">
        <w:t>intelligente Frästechnologie</w:t>
      </w:r>
      <w:r w:rsidR="004828C0">
        <w:t>“</w:t>
      </w:r>
      <w:r w:rsidRPr="00190647">
        <w:t xml:space="preserve"> hinzu, optimieren</w:t>
      </w:r>
      <w:r w:rsidR="00623458" w:rsidRPr="00190647">
        <w:t xml:space="preserve"> Wirtgen</w:t>
      </w:r>
      <w:r w:rsidRPr="00190647">
        <w:t xml:space="preserve"> Kaltfräsen neben dem gesamten Sanierungsprozess auch die wirtschaftliche Wiederverwendung des Fräsgranulats in der Asphaltmischanlage. </w:t>
      </w:r>
    </w:p>
    <w:p w:rsidR="00EE134E" w:rsidRDefault="00EE134E" w:rsidP="005D6433">
      <w:pPr>
        <w:pStyle w:val="Text"/>
        <w:spacing w:line="276" w:lineRule="auto"/>
      </w:pPr>
    </w:p>
    <w:p w:rsidR="004828C0" w:rsidRDefault="00265D84" w:rsidP="005D6433">
      <w:pPr>
        <w:pStyle w:val="Text"/>
        <w:spacing w:line="276" w:lineRule="auto"/>
      </w:pPr>
      <w:r w:rsidRPr="00190647">
        <w:t>Verantwortlich dafür ist in erheblichem Maße die lastabhängige Wasserberieselung. Das zur Kühlung der Fräsmeißel benötigte Wasser wird dabei in Abhängigkeit der Motorbelastung und Fräsgeschwindigkeit geregelt. Durch das automatische Zuschalten der Wasseranlage beim Ansetzen der Fräswalze bzw. durch das Abschalten beim Stopp der Fräsarbeiten lässt sich der Wasserverbrauch deutlich verringern</w:t>
      </w:r>
      <w:r w:rsidR="00EE134E">
        <w:t>. Konkret lassen sich bis zu 20</w:t>
      </w:r>
      <w:r w:rsidRPr="00190647">
        <w:t xml:space="preserve">% Wasser einsparen. </w:t>
      </w:r>
    </w:p>
    <w:p w:rsidR="00265D84" w:rsidRPr="00190647" w:rsidRDefault="00265D84" w:rsidP="005D6433">
      <w:pPr>
        <w:pStyle w:val="Text"/>
        <w:spacing w:line="276" w:lineRule="auto"/>
      </w:pPr>
      <w:r w:rsidRPr="00190647">
        <w:lastRenderedPageBreak/>
        <w:t>Im Ergebnis heißt das: Die Lebensdauer der Meißel wird verlängert, die Kaltfräse muss seltener betankt werden und die Standzeiten sind kürzer. Darüber hinaus – und das ist für die Materialaufbereitung entscheidend – beträgt die Restfeuchte des Fräsgranulats ledigli</w:t>
      </w:r>
      <w:r w:rsidR="00EE134E">
        <w:t>ch 3–4</w:t>
      </w:r>
      <w:r w:rsidRPr="00190647">
        <w:t xml:space="preserve">% </w:t>
      </w:r>
      <w:r w:rsidR="00623458" w:rsidRPr="00190647">
        <w:t xml:space="preserve">pro t. Ohne Einsatz der Wirtgen </w:t>
      </w:r>
      <w:r w:rsidRPr="00190647">
        <w:t>Frästechnologie beträgt die Res</w:t>
      </w:r>
      <w:r w:rsidR="00EE134E">
        <w:t>tfeuchte dagegen in der Regel 5</w:t>
      </w:r>
      <w:r w:rsidRPr="00190647">
        <w:t>%.</w:t>
      </w:r>
    </w:p>
    <w:p w:rsidR="00623458" w:rsidRPr="00190647" w:rsidRDefault="00623458" w:rsidP="005D6433">
      <w:pPr>
        <w:pStyle w:val="Text"/>
        <w:spacing w:line="276" w:lineRule="auto"/>
      </w:pPr>
    </w:p>
    <w:p w:rsidR="00623458" w:rsidRPr="00190647" w:rsidRDefault="00623458" w:rsidP="005D6433">
      <w:pPr>
        <w:pStyle w:val="Text"/>
        <w:spacing w:line="276" w:lineRule="auto"/>
        <w:rPr>
          <w:rFonts w:cs="AvenirNextLTPro-Bold"/>
          <w:b/>
          <w:bCs/>
          <w:sz w:val="21"/>
          <w:szCs w:val="21"/>
        </w:rPr>
      </w:pPr>
      <w:r w:rsidRPr="00190647">
        <w:rPr>
          <w:rFonts w:cs="AvenirNextLTPro-Bold"/>
          <w:b/>
          <w:bCs/>
          <w:sz w:val="21"/>
          <w:szCs w:val="21"/>
        </w:rPr>
        <w:t>Weniger Wasser = weniger Heizöl</w:t>
      </w:r>
    </w:p>
    <w:p w:rsidR="00623458" w:rsidRPr="00190647" w:rsidRDefault="00623458" w:rsidP="005D6433">
      <w:pPr>
        <w:pStyle w:val="Text"/>
        <w:spacing w:line="276" w:lineRule="auto"/>
      </w:pPr>
      <w:r w:rsidRPr="00190647">
        <w:t xml:space="preserve">Für den zur Herstellung des neuen Asphalts notwendigen Trocknungsprozess in der Asphaltmischanlage ist die </w:t>
      </w:r>
      <w:r w:rsidR="00EE134E">
        <w:t>Gleichung simpel: 1</w:t>
      </w:r>
      <w:r w:rsidRPr="00190647">
        <w:t>% trock</w:t>
      </w:r>
      <w:r w:rsidR="00EE134E">
        <w:t>eneres Ausgangsmaterial spart 1</w:t>
      </w:r>
      <w:r w:rsidR="00217D66">
        <w:t xml:space="preserve"> </w:t>
      </w:r>
      <w:r w:rsidRPr="00190647">
        <w:t xml:space="preserve">l </w:t>
      </w:r>
      <w:r w:rsidR="00EE134E">
        <w:t>Heizöl bei der Produktion von 1</w:t>
      </w:r>
      <w:r w:rsidRPr="00190647">
        <w:t>t Asphalt. Hinzu kommen die durch den geringeren Energiebedarf reduzierten CO</w:t>
      </w:r>
      <w:r w:rsidRPr="00190647">
        <w:rPr>
          <w:sz w:val="11"/>
          <w:szCs w:val="11"/>
        </w:rPr>
        <w:t>2</w:t>
      </w:r>
      <w:r w:rsidRPr="00190647">
        <w:t xml:space="preserve">-Emissionen. Für die Aufbereitung des ausgebauten Materials auf dem </w:t>
      </w:r>
      <w:proofErr w:type="spellStart"/>
      <w:r w:rsidRPr="00190647">
        <w:t>Jōban</w:t>
      </w:r>
      <w:proofErr w:type="spellEnd"/>
      <w:r w:rsidRPr="00190647">
        <w:t xml:space="preserve"> </w:t>
      </w:r>
      <w:proofErr w:type="spellStart"/>
      <w:r w:rsidRPr="00190647">
        <w:t>Expressway</w:t>
      </w:r>
      <w:proofErr w:type="spellEnd"/>
      <w:r w:rsidRPr="00190647">
        <w:t xml:space="preserve"> bedeutet</w:t>
      </w:r>
      <w:r w:rsidR="00EE134E">
        <w:t>e das Einsparungen von rund 400</w:t>
      </w:r>
      <w:r w:rsidR="00217D66">
        <w:t xml:space="preserve"> </w:t>
      </w:r>
      <w:r w:rsidRPr="00190647">
        <w:t xml:space="preserve">l Heizöl. Und das in nur zwei Stunden, denn so schnell baute </w:t>
      </w:r>
      <w:proofErr w:type="spellStart"/>
      <w:r w:rsidRPr="00190647">
        <w:t>Unite</w:t>
      </w:r>
      <w:proofErr w:type="spellEnd"/>
      <w:r w:rsidRPr="00190647">
        <w:t xml:space="preserve"> Co., Ltd. </w:t>
      </w:r>
      <w:r w:rsidR="00217D66">
        <w:t>d</w:t>
      </w:r>
      <w:r w:rsidRPr="00190647">
        <w:t>ie Deck- und Binderschicht mit der leistungsstarken W 210 selektiv und präzise aus. Ba</w:t>
      </w:r>
      <w:r w:rsidR="00EA1B19">
        <w:t xml:space="preserve">ustellenleiter Mr. Koji Yamada: </w:t>
      </w:r>
      <w:r w:rsidRPr="00190647">
        <w:t>„Die Qualität der Fräsfläche ist dank des Nivelliersystems Level Pro tadellos – die perfekte Grundlage für den Einbau des neuen Asphalts und dessen Verdichtung.“</w:t>
      </w:r>
    </w:p>
    <w:p w:rsidR="00623458" w:rsidRPr="00190647" w:rsidRDefault="00623458" w:rsidP="005D6433">
      <w:pPr>
        <w:pStyle w:val="Text"/>
        <w:spacing w:line="276" w:lineRule="auto"/>
      </w:pPr>
    </w:p>
    <w:p w:rsidR="00623458" w:rsidRPr="00190647" w:rsidRDefault="00623458" w:rsidP="005D6433">
      <w:pPr>
        <w:pStyle w:val="Text"/>
        <w:spacing w:line="276" w:lineRule="auto"/>
        <w:rPr>
          <w:b/>
        </w:rPr>
      </w:pPr>
      <w:r w:rsidRPr="00190647">
        <w:rPr>
          <w:b/>
        </w:rPr>
        <w:t>Präzises Fräsen steigert Wirtschaftlichkeit beim Recycling</w:t>
      </w:r>
    </w:p>
    <w:p w:rsidR="00623458" w:rsidRPr="00190647" w:rsidRDefault="00422562" w:rsidP="005D6433">
      <w:pPr>
        <w:pStyle w:val="Text"/>
        <w:spacing w:line="276" w:lineRule="auto"/>
      </w:pPr>
      <w:r>
        <w:t>Der um bis zu 20</w:t>
      </w:r>
      <w:r w:rsidR="00623458" w:rsidRPr="00190647">
        <w:t xml:space="preserve">% reduzierte Wassereinsatz der </w:t>
      </w:r>
      <w:r w:rsidRPr="00422562">
        <w:t xml:space="preserve">Wirtgen </w:t>
      </w:r>
      <w:r w:rsidR="00623458" w:rsidRPr="00190647">
        <w:t>Fräsen sorgt für Energie</w:t>
      </w:r>
      <w:r w:rsidR="00217D66">
        <w:t>-E</w:t>
      </w:r>
      <w:r w:rsidR="00623458" w:rsidRPr="00190647">
        <w:t xml:space="preserve">ffizienz – denn es gilt: </w:t>
      </w:r>
      <w:r w:rsidR="00883D85">
        <w:t>-1% Wasser im Ausgangsmaterial = -</w:t>
      </w:r>
      <w:r w:rsidR="00EA1B19">
        <w:t>1</w:t>
      </w:r>
      <w:r w:rsidR="00623458" w:rsidRPr="00190647">
        <w:t>l Heizöl pro t Asphalt bei der W</w:t>
      </w:r>
      <w:r w:rsidR="00883D85">
        <w:t>eiterverarbeitung zu Recycling-</w:t>
      </w:r>
      <w:r w:rsidR="00623458" w:rsidRPr="00190647">
        <w:t>Mischgut</w:t>
      </w:r>
      <w:r w:rsidR="00217D66">
        <w:t>,</w:t>
      </w:r>
      <w:r w:rsidR="00623458" w:rsidRPr="00190647">
        <w:t xml:space="preserve"> z. B. in </w:t>
      </w:r>
      <w:proofErr w:type="spellStart"/>
      <w:r w:rsidR="00883D85">
        <w:t>Benninghoven</w:t>
      </w:r>
      <w:proofErr w:type="spellEnd"/>
      <w:r w:rsidR="00623458" w:rsidRPr="00190647">
        <w:t xml:space="preserve"> Asphaltmischanlagen.</w:t>
      </w:r>
    </w:p>
    <w:p w:rsidR="00623458" w:rsidRPr="00190647" w:rsidRDefault="00623458" w:rsidP="005D6433">
      <w:pPr>
        <w:pStyle w:val="Text"/>
        <w:spacing w:line="276" w:lineRule="auto"/>
      </w:pPr>
    </w:p>
    <w:p w:rsidR="00623458" w:rsidRPr="00190647" w:rsidRDefault="0078756A" w:rsidP="005D6433">
      <w:pPr>
        <w:pStyle w:val="Text"/>
        <w:spacing w:line="276" w:lineRule="auto"/>
      </w:pPr>
      <w:r>
        <w:t>Fü</w:t>
      </w:r>
      <w:r w:rsidR="00623458" w:rsidRPr="00190647">
        <w:t xml:space="preserve">r die Baustelle auf dem </w:t>
      </w:r>
      <w:proofErr w:type="spellStart"/>
      <w:r w:rsidR="00623458" w:rsidRPr="00190647">
        <w:t>Jōban</w:t>
      </w:r>
      <w:proofErr w:type="spellEnd"/>
      <w:r w:rsidR="00623458" w:rsidRPr="00190647">
        <w:t xml:space="preserve"> </w:t>
      </w:r>
      <w:proofErr w:type="spellStart"/>
      <w:r w:rsidR="00623458" w:rsidRPr="00190647">
        <w:t>Expressway</w:t>
      </w:r>
      <w:proofErr w:type="spellEnd"/>
      <w:r>
        <w:t xml:space="preserve"> heißt das</w:t>
      </w:r>
      <w:r w:rsidR="00623458" w:rsidRPr="00190647">
        <w:t>:</w:t>
      </w:r>
    </w:p>
    <w:p w:rsidR="00623458" w:rsidRPr="00190647" w:rsidRDefault="00623458" w:rsidP="005D6433">
      <w:pPr>
        <w:pStyle w:val="Text"/>
        <w:spacing w:line="276" w:lineRule="auto"/>
      </w:pPr>
      <w:r w:rsidRPr="00190647">
        <w:t>800 m</w:t>
      </w:r>
      <w:r w:rsidR="00883D85">
        <w:t>²</w:t>
      </w:r>
      <w:r w:rsidRPr="00190647">
        <w:t xml:space="preserve"> Fläche </w:t>
      </w:r>
      <w:r w:rsidR="00EA1B19" w:rsidRPr="00EA1B19">
        <w:t>x 0,25 m Frästiefe</w:t>
      </w:r>
      <w:r w:rsidR="00BB2210">
        <w:t xml:space="preserve"> = </w:t>
      </w:r>
      <w:r w:rsidRPr="00190647">
        <w:t>200 m</w:t>
      </w:r>
      <w:r w:rsidR="00883D85">
        <w:t>³</w:t>
      </w:r>
      <w:r w:rsidRPr="00190647">
        <w:t xml:space="preserve"> Asphalt-Ausbauvolumen</w:t>
      </w:r>
    </w:p>
    <w:p w:rsidR="001B3646" w:rsidRDefault="00623458" w:rsidP="005D6433">
      <w:pPr>
        <w:autoSpaceDE w:val="0"/>
        <w:autoSpaceDN w:val="0"/>
        <w:adjustRightInd w:val="0"/>
        <w:spacing w:line="276" w:lineRule="auto"/>
        <w:jc w:val="both"/>
        <w:rPr>
          <w:sz w:val="22"/>
          <w:szCs w:val="22"/>
        </w:rPr>
      </w:pPr>
      <w:r w:rsidRPr="00BB2210">
        <w:rPr>
          <w:sz w:val="22"/>
          <w:szCs w:val="22"/>
        </w:rPr>
        <w:t xml:space="preserve">200 m³ Asphalt-Ausbauvolumen </w:t>
      </w:r>
      <w:r w:rsidR="00BB2210" w:rsidRPr="00BB2210">
        <w:rPr>
          <w:sz w:val="22"/>
          <w:szCs w:val="22"/>
        </w:rPr>
        <w:t xml:space="preserve">x 2,47 t/m³ Raumdichte Fräsgranulat </w:t>
      </w:r>
      <w:r w:rsidRPr="00BB2210">
        <w:rPr>
          <w:sz w:val="22"/>
          <w:szCs w:val="22"/>
        </w:rPr>
        <w:t xml:space="preserve">= </w:t>
      </w:r>
    </w:p>
    <w:p w:rsidR="00623458" w:rsidRDefault="00623458" w:rsidP="005D6433">
      <w:pPr>
        <w:autoSpaceDE w:val="0"/>
        <w:autoSpaceDN w:val="0"/>
        <w:adjustRightInd w:val="0"/>
        <w:spacing w:line="276" w:lineRule="auto"/>
        <w:jc w:val="both"/>
        <w:rPr>
          <w:sz w:val="22"/>
          <w:szCs w:val="22"/>
        </w:rPr>
      </w:pPr>
      <w:r w:rsidRPr="00BB2210">
        <w:rPr>
          <w:sz w:val="22"/>
          <w:szCs w:val="22"/>
        </w:rPr>
        <w:t>~500 l Heizöl</w:t>
      </w:r>
    </w:p>
    <w:p w:rsidR="009A7D80" w:rsidRDefault="009A7D80" w:rsidP="005D6433">
      <w:pPr>
        <w:pStyle w:val="Text"/>
        <w:spacing w:line="276" w:lineRule="auto"/>
        <w:rPr>
          <w:rFonts w:cs="AvenirNextLTPro-Bold"/>
          <w:bCs/>
        </w:rPr>
      </w:pPr>
    </w:p>
    <w:p w:rsidR="00623458" w:rsidRPr="00190647" w:rsidRDefault="00623458" w:rsidP="005D6433">
      <w:pPr>
        <w:pStyle w:val="Text"/>
        <w:spacing w:line="276" w:lineRule="auto"/>
      </w:pPr>
      <w:r w:rsidRPr="00BA720C">
        <w:rPr>
          <w:rFonts w:cs="AvenirNextLTPro-Bold"/>
          <w:bCs/>
        </w:rPr>
        <w:t>Ergebnis:</w:t>
      </w:r>
      <w:r w:rsidRPr="00190647">
        <w:rPr>
          <w:rFonts w:cs="AvenirNextLTPro-Bold"/>
          <w:b/>
          <w:bCs/>
        </w:rPr>
        <w:t xml:space="preserve"> </w:t>
      </w:r>
      <w:r w:rsidRPr="00190647">
        <w:t>Das Einsparpotenzial an Heizöl in der Mischanlage durch den Einsatz</w:t>
      </w:r>
      <w:r w:rsidR="005D4735">
        <w:t xml:space="preserve"> </w:t>
      </w:r>
      <w:r w:rsidRPr="00190647">
        <w:t xml:space="preserve">der </w:t>
      </w:r>
      <w:r w:rsidR="001B3646" w:rsidRPr="001B3646">
        <w:t xml:space="preserve">Wirtgen </w:t>
      </w:r>
      <w:r w:rsidRPr="00190647">
        <w:t>Kaltfräse beträgt rund 500 l.</w:t>
      </w:r>
    </w:p>
    <w:p w:rsidR="00623458" w:rsidRDefault="00822CF6" w:rsidP="005D6433">
      <w:pPr>
        <w:pStyle w:val="Text"/>
        <w:spacing w:line="276" w:lineRule="auto"/>
      </w:pPr>
      <w:r>
        <w:t>_________________________________________________</w:t>
      </w:r>
    </w:p>
    <w:p w:rsidR="00822CF6" w:rsidRPr="00190647" w:rsidRDefault="00822CF6" w:rsidP="005D6433">
      <w:pPr>
        <w:pStyle w:val="Text"/>
        <w:spacing w:line="276" w:lineRule="auto"/>
      </w:pPr>
    </w:p>
    <w:p w:rsidR="00E3491D" w:rsidRPr="00BA720C" w:rsidRDefault="00E3491D" w:rsidP="005D6433">
      <w:pPr>
        <w:pStyle w:val="Text"/>
        <w:spacing w:line="276" w:lineRule="auto"/>
        <w:rPr>
          <w:b/>
        </w:rPr>
      </w:pPr>
      <w:r w:rsidRPr="00BA720C">
        <w:rPr>
          <w:b/>
        </w:rPr>
        <w:t>Baustellendaten</w:t>
      </w:r>
      <w:r w:rsidR="0078756A">
        <w:rPr>
          <w:b/>
        </w:rPr>
        <w:t>:</w:t>
      </w:r>
    </w:p>
    <w:p w:rsidR="00E3491D" w:rsidRPr="00190647" w:rsidRDefault="003F4909" w:rsidP="005D6433">
      <w:pPr>
        <w:pStyle w:val="Text"/>
        <w:spacing w:line="276" w:lineRule="auto"/>
      </w:pPr>
      <w:r>
        <w:t xml:space="preserve">Aufgabe: </w:t>
      </w:r>
      <w:r w:rsidR="00E3491D" w:rsidRPr="00190647">
        <w:t>Sanierung der Deck- und Binderschicht eines Streckenabschnittes</w:t>
      </w:r>
      <w:r w:rsidR="00217D66">
        <w:t xml:space="preserve"> </w:t>
      </w:r>
      <w:r w:rsidR="00E3491D" w:rsidRPr="00190647">
        <w:t xml:space="preserve">des </w:t>
      </w:r>
      <w:proofErr w:type="spellStart"/>
      <w:r w:rsidR="00E3491D" w:rsidRPr="00190647">
        <w:t>Jōban</w:t>
      </w:r>
      <w:proofErr w:type="spellEnd"/>
      <w:r w:rsidR="00E3491D" w:rsidRPr="00190647">
        <w:t xml:space="preserve"> </w:t>
      </w:r>
      <w:proofErr w:type="spellStart"/>
      <w:r w:rsidR="00E3491D" w:rsidRPr="00190647">
        <w:t>Expressways</w:t>
      </w:r>
      <w:proofErr w:type="spellEnd"/>
      <w:r w:rsidR="00E3491D" w:rsidRPr="00190647">
        <w:t xml:space="preserve"> zwischen Mito und Tokio, Japan</w:t>
      </w:r>
    </w:p>
    <w:p w:rsidR="00E3491D" w:rsidRPr="00190647" w:rsidRDefault="00E3491D" w:rsidP="005D6433">
      <w:pPr>
        <w:pStyle w:val="Text"/>
        <w:spacing w:line="276" w:lineRule="auto"/>
      </w:pPr>
      <w:r w:rsidRPr="00190647">
        <w:t>Fläche der Baumaßnahme: rd. 800 m</w:t>
      </w:r>
      <w:r w:rsidR="003F4909">
        <w:t>²</w:t>
      </w:r>
    </w:p>
    <w:p w:rsidR="00E3491D" w:rsidRPr="00190647" w:rsidRDefault="00E3491D" w:rsidP="005D6433">
      <w:pPr>
        <w:pStyle w:val="Text"/>
        <w:spacing w:line="276" w:lineRule="auto"/>
      </w:pPr>
      <w:r w:rsidRPr="00190647">
        <w:t>Länge der Baumaßnahme: rd. 250 m</w:t>
      </w:r>
    </w:p>
    <w:p w:rsidR="00E3491D" w:rsidRDefault="00E3491D" w:rsidP="005D6433">
      <w:pPr>
        <w:pStyle w:val="Text"/>
        <w:spacing w:line="276" w:lineRule="auto"/>
      </w:pPr>
      <w:r w:rsidRPr="00190647">
        <w:t>Breite der Baumaßnahme: 3,425 m</w:t>
      </w:r>
    </w:p>
    <w:p w:rsidR="003F4909" w:rsidRDefault="003F4909" w:rsidP="005D6433">
      <w:pPr>
        <w:pStyle w:val="Text"/>
        <w:spacing w:line="276" w:lineRule="auto"/>
      </w:pPr>
    </w:p>
    <w:p w:rsidR="003F4909" w:rsidRPr="003F4909" w:rsidRDefault="003F4909" w:rsidP="005D6433">
      <w:pPr>
        <w:pStyle w:val="Text"/>
        <w:spacing w:line="276" w:lineRule="auto"/>
        <w:rPr>
          <w:b/>
        </w:rPr>
      </w:pPr>
      <w:r w:rsidRPr="003F4909">
        <w:rPr>
          <w:b/>
        </w:rPr>
        <w:t>Arbeitsparameter</w:t>
      </w:r>
    </w:p>
    <w:p w:rsidR="003F4909" w:rsidRDefault="003F4909" w:rsidP="005D6433">
      <w:pPr>
        <w:pStyle w:val="Text"/>
        <w:spacing w:line="276" w:lineRule="auto"/>
      </w:pPr>
      <w:r>
        <w:t>Frästiefe – Deckschicht/Schritt 1: 10 cm</w:t>
      </w:r>
    </w:p>
    <w:p w:rsidR="003F4909" w:rsidRDefault="003F4909" w:rsidP="005D6433">
      <w:pPr>
        <w:pStyle w:val="Text"/>
        <w:spacing w:line="276" w:lineRule="auto"/>
      </w:pPr>
      <w:r>
        <w:t>Frästiefe – Binderschicht/Schritt 2: 15 cm</w:t>
      </w:r>
    </w:p>
    <w:p w:rsidR="009A7D80" w:rsidRDefault="003F4909" w:rsidP="005D6433">
      <w:pPr>
        <w:pStyle w:val="Text"/>
        <w:spacing w:line="276" w:lineRule="auto"/>
      </w:pPr>
      <w:r>
        <w:t>Fräsgeschwindigkeit: ca. 7 m/min</w:t>
      </w:r>
    </w:p>
    <w:p w:rsidR="009A7D80" w:rsidRDefault="009A7D80" w:rsidP="005D6433">
      <w:pPr>
        <w:pStyle w:val="HeadlineFotos"/>
      </w:pPr>
      <w:r w:rsidRPr="00822CF6">
        <w:rPr>
          <w:rFonts w:ascii="Verdana" w:eastAsia="Calibri" w:hAnsi="Verdana" w:cs="Times New Roman"/>
          <w:caps w:val="0"/>
          <w:szCs w:val="22"/>
        </w:rPr>
        <w:lastRenderedPageBreak/>
        <w:t>Fotos</w:t>
      </w:r>
      <w:r>
        <w:t>:</w:t>
      </w:r>
    </w:p>
    <w:tbl>
      <w:tblPr>
        <w:tblStyle w:val="Basic"/>
        <w:tblW w:w="0" w:type="auto"/>
        <w:tblCellSpacing w:w="71" w:type="dxa"/>
        <w:tblLook w:val="04A0" w:firstRow="1" w:lastRow="0" w:firstColumn="1" w:lastColumn="0" w:noHBand="0" w:noVBand="1"/>
      </w:tblPr>
      <w:tblGrid>
        <w:gridCol w:w="4963"/>
        <w:gridCol w:w="4845"/>
      </w:tblGrid>
      <w:tr w:rsidR="00DA3E4C" w:rsidRPr="00190647" w:rsidTr="00422562">
        <w:trPr>
          <w:cnfStyle w:val="100000000000" w:firstRow="1" w:lastRow="0" w:firstColumn="0" w:lastColumn="0" w:oddVBand="0" w:evenVBand="0" w:oddHBand="0" w:evenHBand="0" w:firstRowFirstColumn="0" w:firstRowLastColumn="0" w:lastRowFirstColumn="0" w:lastRowLastColumn="0"/>
          <w:tblCellSpacing w:w="71" w:type="dxa"/>
        </w:trPr>
        <w:tc>
          <w:tcPr>
            <w:tcW w:w="4750" w:type="dxa"/>
            <w:tcBorders>
              <w:right w:val="single" w:sz="4" w:space="0" w:color="auto"/>
            </w:tcBorders>
          </w:tcPr>
          <w:p w:rsidR="00DA3E4C" w:rsidRPr="00190647" w:rsidRDefault="00DA3E4C" w:rsidP="005D6433">
            <w:pPr>
              <w:spacing w:line="276" w:lineRule="auto"/>
            </w:pPr>
            <w:r w:rsidRPr="00190647">
              <w:rPr>
                <w:noProof/>
                <w:lang w:eastAsia="de-DE"/>
              </w:rPr>
              <w:drawing>
                <wp:inline distT="0" distB="0" distL="0" distR="0" wp14:anchorId="4E3EF38B" wp14:editId="6012072B">
                  <wp:extent cx="2615666" cy="1743218"/>
                  <wp:effectExtent l="0" t="0" r="0" b="952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15666" cy="1743218"/>
                          </a:xfrm>
                          <a:prstGeom prst="rect">
                            <a:avLst/>
                          </a:prstGeom>
                          <a:noFill/>
                          <a:ln>
                            <a:noFill/>
                          </a:ln>
                        </pic:spPr>
                      </pic:pic>
                    </a:graphicData>
                  </a:graphic>
                </wp:inline>
              </w:drawing>
            </w:r>
          </w:p>
        </w:tc>
        <w:tc>
          <w:tcPr>
            <w:tcW w:w="4632" w:type="dxa"/>
          </w:tcPr>
          <w:p w:rsidR="00DA3E4C" w:rsidRPr="00190647" w:rsidRDefault="00DA3E4C" w:rsidP="005D6433">
            <w:pPr>
              <w:pStyle w:val="Text"/>
              <w:spacing w:line="276" w:lineRule="auto"/>
            </w:pPr>
            <w:r w:rsidRPr="00190647">
              <w:rPr>
                <w:rFonts w:eastAsiaTheme="majorEastAsia" w:cstheme="majorBidi"/>
                <w:b/>
                <w:sz w:val="20"/>
                <w:szCs w:val="24"/>
              </w:rPr>
              <w:t>W_photo_W210_01833_PR</w:t>
            </w:r>
          </w:p>
          <w:p w:rsidR="00DA3E4C" w:rsidRPr="00E041F9" w:rsidRDefault="00DA3E4C" w:rsidP="005D6433">
            <w:pPr>
              <w:pStyle w:val="Text"/>
              <w:spacing w:line="276" w:lineRule="auto"/>
              <w:jc w:val="left"/>
              <w:rPr>
                <w:sz w:val="20"/>
              </w:rPr>
            </w:pPr>
            <w:r w:rsidRPr="00E041F9">
              <w:rPr>
                <w:sz w:val="20"/>
              </w:rPr>
              <w:t>Präzision auf ganzer Linie: Wirtgen Kaltfräsen erstellen nicht nur eine profilgerechte, ebene Basis für den Asphaltneueinbau. Sie tragen auch dazu bei, dass das ausgebaute Material in der Asphaltmischanlage besonders wirtschaftlich recycelt werden kann.</w:t>
            </w:r>
          </w:p>
        </w:tc>
      </w:tr>
    </w:tbl>
    <w:p w:rsidR="00623458" w:rsidRPr="00190647" w:rsidRDefault="00623458" w:rsidP="005D6433">
      <w:pPr>
        <w:pStyle w:val="Text"/>
        <w:spacing w:line="276" w:lineRule="auto"/>
      </w:pPr>
    </w:p>
    <w:tbl>
      <w:tblPr>
        <w:tblStyle w:val="Basic"/>
        <w:tblW w:w="0" w:type="auto"/>
        <w:tblCellSpacing w:w="71" w:type="dxa"/>
        <w:tblLook w:val="04A0" w:firstRow="1" w:lastRow="0" w:firstColumn="1" w:lastColumn="0" w:noHBand="0" w:noVBand="1"/>
      </w:tblPr>
      <w:tblGrid>
        <w:gridCol w:w="4954"/>
        <w:gridCol w:w="4854"/>
      </w:tblGrid>
      <w:tr w:rsidR="00DA3E4C" w:rsidRPr="00190647" w:rsidTr="004D135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5D6433" w:rsidRDefault="005D6433" w:rsidP="005D6433">
            <w:pPr>
              <w:spacing w:line="276" w:lineRule="auto"/>
            </w:pPr>
          </w:p>
          <w:p w:rsidR="00DA3E4C" w:rsidRPr="00190647" w:rsidRDefault="00DA3E4C" w:rsidP="005D6433">
            <w:pPr>
              <w:spacing w:line="276" w:lineRule="auto"/>
            </w:pPr>
            <w:r w:rsidRPr="00190647">
              <w:rPr>
                <w:noProof/>
                <w:lang w:eastAsia="de-DE"/>
              </w:rPr>
              <w:drawing>
                <wp:inline distT="0" distB="0" distL="0" distR="0" wp14:anchorId="2EA9D723" wp14:editId="44AF1D60">
                  <wp:extent cx="2613660" cy="1744414"/>
                  <wp:effectExtent l="0" t="0" r="0" b="825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11868" cy="1743218"/>
                          </a:xfrm>
                          <a:prstGeom prst="rect">
                            <a:avLst/>
                          </a:prstGeom>
                          <a:noFill/>
                          <a:ln>
                            <a:noFill/>
                          </a:ln>
                        </pic:spPr>
                      </pic:pic>
                    </a:graphicData>
                  </a:graphic>
                </wp:inline>
              </w:drawing>
            </w:r>
          </w:p>
        </w:tc>
        <w:tc>
          <w:tcPr>
            <w:tcW w:w="4832" w:type="dxa"/>
          </w:tcPr>
          <w:p w:rsidR="00DA3E4C" w:rsidRPr="00190647" w:rsidRDefault="00DA3E4C" w:rsidP="005D6433">
            <w:pPr>
              <w:pStyle w:val="Text"/>
              <w:spacing w:line="276" w:lineRule="auto"/>
              <w:rPr>
                <w:rFonts w:eastAsiaTheme="majorEastAsia" w:cstheme="majorBidi"/>
                <w:b/>
                <w:sz w:val="20"/>
                <w:szCs w:val="24"/>
              </w:rPr>
            </w:pPr>
            <w:r w:rsidRPr="00190647">
              <w:rPr>
                <w:rFonts w:eastAsiaTheme="majorEastAsia" w:cstheme="majorBidi"/>
                <w:b/>
                <w:sz w:val="20"/>
                <w:szCs w:val="24"/>
              </w:rPr>
              <w:t>W_graphic_W250i_00013_HI</w:t>
            </w:r>
          </w:p>
          <w:p w:rsidR="00DA3E4C" w:rsidRDefault="00E041F9" w:rsidP="005D6433">
            <w:pPr>
              <w:pStyle w:val="Text"/>
              <w:spacing w:line="276" w:lineRule="auto"/>
              <w:jc w:val="left"/>
              <w:rPr>
                <w:sz w:val="20"/>
              </w:rPr>
            </w:pPr>
            <w:r w:rsidRPr="00822CF6">
              <w:rPr>
                <w:sz w:val="20"/>
              </w:rPr>
              <w:t>Im Fräsaggregat werden während des Fräsprozesses feine Materialpartikel</w:t>
            </w:r>
            <w:r w:rsidR="0024720D" w:rsidRPr="00822CF6">
              <w:rPr>
                <w:sz w:val="20"/>
              </w:rPr>
              <w:t xml:space="preserve"> </w:t>
            </w:r>
            <w:r w:rsidRPr="00822CF6">
              <w:rPr>
                <w:sz w:val="20"/>
              </w:rPr>
              <w:t>und Wasserdampf freigesetzt. Durch einen erzeugten Unterdruck werden diese direkt am zusätzlich abgedichteten</w:t>
            </w:r>
            <w:r w:rsidR="0024720D" w:rsidRPr="00822CF6">
              <w:rPr>
                <w:sz w:val="20"/>
              </w:rPr>
              <w:t xml:space="preserve"> </w:t>
            </w:r>
            <w:r w:rsidRPr="00822CF6">
              <w:rPr>
                <w:sz w:val="20"/>
              </w:rPr>
              <w:t xml:space="preserve">Fräsaggregat mit Hilfe des </w:t>
            </w:r>
            <w:proofErr w:type="spellStart"/>
            <w:r w:rsidRPr="00822CF6">
              <w:rPr>
                <w:sz w:val="20"/>
              </w:rPr>
              <w:t>Vacuum</w:t>
            </w:r>
            <w:proofErr w:type="spellEnd"/>
            <w:r w:rsidRPr="00822CF6">
              <w:rPr>
                <w:sz w:val="20"/>
              </w:rPr>
              <w:t xml:space="preserve"> </w:t>
            </w:r>
            <w:proofErr w:type="spellStart"/>
            <w:r w:rsidRPr="00822CF6">
              <w:rPr>
                <w:sz w:val="20"/>
              </w:rPr>
              <w:t>Cutting</w:t>
            </w:r>
            <w:proofErr w:type="spellEnd"/>
            <w:r w:rsidRPr="00822CF6">
              <w:rPr>
                <w:sz w:val="20"/>
              </w:rPr>
              <w:t xml:space="preserve"> Systems in den kurzen Bandkanal der Fräse gesaugt. Über dem Bandkanal saugt eine Absaughaube die Partikel in zwei Schläuche, die direkt zum langen Band des Ladebandsystems führen.</w:t>
            </w:r>
          </w:p>
          <w:p w:rsidR="00822CF6" w:rsidRPr="00190647" w:rsidRDefault="00822CF6" w:rsidP="005D6433">
            <w:pPr>
              <w:pStyle w:val="Text"/>
              <w:spacing w:line="276" w:lineRule="auto"/>
              <w:jc w:val="left"/>
            </w:pPr>
          </w:p>
        </w:tc>
      </w:tr>
    </w:tbl>
    <w:p w:rsidR="00DA3E4C" w:rsidRPr="00190647" w:rsidRDefault="00DA3E4C" w:rsidP="005D6433">
      <w:pPr>
        <w:pStyle w:val="Text"/>
        <w:spacing w:line="276" w:lineRule="auto"/>
      </w:pPr>
    </w:p>
    <w:tbl>
      <w:tblPr>
        <w:tblStyle w:val="Basic"/>
        <w:tblW w:w="0" w:type="auto"/>
        <w:tblCellSpacing w:w="71" w:type="dxa"/>
        <w:tblLook w:val="04A0" w:firstRow="1" w:lastRow="0" w:firstColumn="1" w:lastColumn="0" w:noHBand="0" w:noVBand="1"/>
      </w:tblPr>
      <w:tblGrid>
        <w:gridCol w:w="4964"/>
        <w:gridCol w:w="4844"/>
      </w:tblGrid>
      <w:tr w:rsidR="00DA3E4C" w:rsidRPr="00190647" w:rsidTr="004D135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A3E4C" w:rsidRPr="00190647" w:rsidRDefault="00DA3E4C" w:rsidP="005D6433">
            <w:pPr>
              <w:spacing w:line="276" w:lineRule="auto"/>
            </w:pPr>
            <w:r w:rsidRPr="00190647">
              <w:rPr>
                <w:noProof/>
                <w:lang w:eastAsia="de-DE"/>
              </w:rPr>
              <w:drawing>
                <wp:inline distT="0" distB="0" distL="0" distR="0" wp14:anchorId="0D06C68B" wp14:editId="57FB6DBB">
                  <wp:extent cx="2611868" cy="1740686"/>
                  <wp:effectExtent l="0" t="0" r="0" b="0"/>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611868" cy="1740686"/>
                          </a:xfrm>
                          <a:prstGeom prst="rect">
                            <a:avLst/>
                          </a:prstGeom>
                          <a:noFill/>
                          <a:ln>
                            <a:noFill/>
                          </a:ln>
                        </pic:spPr>
                      </pic:pic>
                    </a:graphicData>
                  </a:graphic>
                </wp:inline>
              </w:drawing>
            </w:r>
          </w:p>
        </w:tc>
        <w:tc>
          <w:tcPr>
            <w:tcW w:w="4832" w:type="dxa"/>
          </w:tcPr>
          <w:p w:rsidR="00DA3E4C" w:rsidRPr="00822CF6" w:rsidRDefault="00DA3E4C" w:rsidP="005D6433">
            <w:pPr>
              <w:pStyle w:val="Text"/>
              <w:spacing w:line="276" w:lineRule="auto"/>
              <w:rPr>
                <w:rFonts w:eastAsiaTheme="majorEastAsia" w:cstheme="majorBidi"/>
                <w:b/>
                <w:sz w:val="20"/>
                <w:szCs w:val="24"/>
                <w:lang w:val="en-US"/>
              </w:rPr>
            </w:pPr>
            <w:r w:rsidRPr="00822CF6">
              <w:rPr>
                <w:rFonts w:eastAsiaTheme="majorEastAsia" w:cstheme="majorBidi"/>
                <w:b/>
                <w:sz w:val="20"/>
                <w:szCs w:val="24"/>
                <w:lang w:val="en-US"/>
              </w:rPr>
              <w:t>W_photo_W210_01837_HI</w:t>
            </w:r>
          </w:p>
          <w:p w:rsidR="00BB376B" w:rsidRPr="00E041F9" w:rsidRDefault="009C10D5" w:rsidP="005D6433">
            <w:pPr>
              <w:pStyle w:val="Text"/>
              <w:spacing w:line="276" w:lineRule="auto"/>
              <w:jc w:val="left"/>
              <w:rPr>
                <w:sz w:val="20"/>
              </w:rPr>
            </w:pPr>
            <w:r w:rsidRPr="00822CF6">
              <w:rPr>
                <w:sz w:val="20"/>
                <w:lang w:val="en-US"/>
              </w:rPr>
              <w:t>„</w:t>
            </w:r>
            <w:r w:rsidR="00BB376B" w:rsidRPr="00822CF6">
              <w:rPr>
                <w:sz w:val="20"/>
                <w:lang w:val="en-US"/>
              </w:rPr>
              <w:t>Das Vacuum Cutting System</w:t>
            </w:r>
            <w:r w:rsidR="00217D66">
              <w:rPr>
                <w:sz w:val="20"/>
                <w:lang w:val="en-US"/>
              </w:rPr>
              <w:t xml:space="preserve"> </w:t>
            </w:r>
            <w:r w:rsidR="00BB376B" w:rsidRPr="00E041F9">
              <w:rPr>
                <w:sz w:val="20"/>
              </w:rPr>
              <w:t>von WIRTGEN ist eine saubere</w:t>
            </w:r>
            <w:r w:rsidR="00217D66">
              <w:rPr>
                <w:sz w:val="20"/>
              </w:rPr>
              <w:t xml:space="preserve"> </w:t>
            </w:r>
            <w:r w:rsidR="00BB376B" w:rsidRPr="00E041F9">
              <w:rPr>
                <w:sz w:val="20"/>
              </w:rPr>
              <w:t>Sache und sorgt für beste</w:t>
            </w:r>
            <w:r w:rsidR="00217D66">
              <w:rPr>
                <w:sz w:val="20"/>
              </w:rPr>
              <w:t xml:space="preserve"> </w:t>
            </w:r>
            <w:r w:rsidR="00BB376B" w:rsidRPr="00E041F9">
              <w:rPr>
                <w:sz w:val="20"/>
              </w:rPr>
              <w:t>Sichtverhältnisse</w:t>
            </w:r>
            <w:proofErr w:type="gramStart"/>
            <w:r w:rsidR="00BB376B" w:rsidRPr="00E041F9">
              <w:rPr>
                <w:sz w:val="20"/>
              </w:rPr>
              <w:t>.</w:t>
            </w:r>
            <w:r w:rsidRPr="00E041F9">
              <w:rPr>
                <w:sz w:val="20"/>
              </w:rPr>
              <w:t>“</w:t>
            </w:r>
            <w:proofErr w:type="gramEnd"/>
          </w:p>
          <w:p w:rsidR="009C10D5" w:rsidRPr="00190647" w:rsidRDefault="009C10D5" w:rsidP="005D6433">
            <w:pPr>
              <w:pStyle w:val="Text"/>
              <w:spacing w:line="276" w:lineRule="auto"/>
            </w:pPr>
            <w:proofErr w:type="spellStart"/>
            <w:r w:rsidRPr="00E041F9">
              <w:rPr>
                <w:sz w:val="20"/>
              </w:rPr>
              <w:t>Kazunari</w:t>
            </w:r>
            <w:proofErr w:type="spellEnd"/>
            <w:r w:rsidRPr="00E041F9">
              <w:rPr>
                <w:sz w:val="20"/>
              </w:rPr>
              <w:t xml:space="preserve"> Watanabe, </w:t>
            </w:r>
            <w:proofErr w:type="spellStart"/>
            <w:r w:rsidRPr="00E041F9">
              <w:rPr>
                <w:sz w:val="20"/>
              </w:rPr>
              <w:t>Fräsenfahrer</w:t>
            </w:r>
            <w:proofErr w:type="spellEnd"/>
            <w:r w:rsidR="00217D66">
              <w:rPr>
                <w:sz w:val="20"/>
              </w:rPr>
              <w:t xml:space="preserve">, </w:t>
            </w:r>
            <w:proofErr w:type="spellStart"/>
            <w:r w:rsidRPr="00E041F9">
              <w:rPr>
                <w:sz w:val="20"/>
              </w:rPr>
              <w:t>Unite</w:t>
            </w:r>
            <w:proofErr w:type="spellEnd"/>
            <w:r w:rsidRPr="00E041F9">
              <w:rPr>
                <w:sz w:val="20"/>
              </w:rPr>
              <w:t xml:space="preserve"> Co., Ltd.</w:t>
            </w:r>
          </w:p>
        </w:tc>
      </w:tr>
    </w:tbl>
    <w:p w:rsidR="005D6433" w:rsidRDefault="005D6433" w:rsidP="005D6433">
      <w:pPr>
        <w:pStyle w:val="Text"/>
        <w:spacing w:line="276" w:lineRule="auto"/>
      </w:pPr>
    </w:p>
    <w:p w:rsidR="005D6433" w:rsidRDefault="005D6433" w:rsidP="005D6433">
      <w:pPr>
        <w:spacing w:line="276" w:lineRule="auto"/>
        <w:rPr>
          <w:sz w:val="22"/>
        </w:rPr>
      </w:pPr>
      <w:r>
        <w:br w:type="page"/>
      </w:r>
    </w:p>
    <w:p w:rsidR="005D6433" w:rsidRDefault="005D6433" w:rsidP="005D6433">
      <w:pPr>
        <w:pStyle w:val="HeadlineFotos"/>
      </w:pPr>
      <w:r w:rsidRPr="00822CF6">
        <w:rPr>
          <w:rFonts w:ascii="Verdana" w:eastAsia="Calibri" w:hAnsi="Verdana" w:cs="Times New Roman"/>
          <w:caps w:val="0"/>
          <w:szCs w:val="22"/>
        </w:rPr>
        <w:lastRenderedPageBreak/>
        <w:t>Fotos</w:t>
      </w:r>
      <w:r>
        <w:t>:</w:t>
      </w:r>
    </w:p>
    <w:tbl>
      <w:tblPr>
        <w:tblStyle w:val="Basic"/>
        <w:tblW w:w="0" w:type="auto"/>
        <w:tblCellSpacing w:w="71" w:type="dxa"/>
        <w:tblLook w:val="04A0" w:firstRow="1" w:lastRow="0" w:firstColumn="1" w:lastColumn="0" w:noHBand="0" w:noVBand="1"/>
      </w:tblPr>
      <w:tblGrid>
        <w:gridCol w:w="4963"/>
        <w:gridCol w:w="4845"/>
      </w:tblGrid>
      <w:tr w:rsidR="00C34312" w:rsidRPr="00190647" w:rsidTr="005D6433">
        <w:trPr>
          <w:cnfStyle w:val="100000000000" w:firstRow="1" w:lastRow="0" w:firstColumn="0" w:lastColumn="0" w:oddVBand="0" w:evenVBand="0" w:oddHBand="0" w:evenHBand="0" w:firstRowFirstColumn="0" w:firstRowLastColumn="0" w:lastRowFirstColumn="0" w:lastRowLastColumn="0"/>
          <w:tblCellSpacing w:w="71" w:type="dxa"/>
        </w:trPr>
        <w:tc>
          <w:tcPr>
            <w:tcW w:w="4750" w:type="dxa"/>
            <w:tcBorders>
              <w:right w:val="single" w:sz="4" w:space="0" w:color="auto"/>
            </w:tcBorders>
          </w:tcPr>
          <w:p w:rsidR="00C34312" w:rsidRPr="00190647" w:rsidRDefault="00C34312" w:rsidP="005D6433">
            <w:pPr>
              <w:spacing w:line="276" w:lineRule="auto"/>
            </w:pPr>
            <w:r w:rsidRPr="00190647">
              <w:rPr>
                <w:noProof/>
                <w:lang w:eastAsia="de-DE"/>
              </w:rPr>
              <w:drawing>
                <wp:inline distT="0" distB="0" distL="0" distR="0" wp14:anchorId="63AD715A" wp14:editId="0FE28268">
                  <wp:extent cx="2611868" cy="1740686"/>
                  <wp:effectExtent l="0" t="0" r="0" b="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611868" cy="1740686"/>
                          </a:xfrm>
                          <a:prstGeom prst="rect">
                            <a:avLst/>
                          </a:prstGeom>
                          <a:noFill/>
                          <a:ln>
                            <a:noFill/>
                          </a:ln>
                        </pic:spPr>
                      </pic:pic>
                    </a:graphicData>
                  </a:graphic>
                </wp:inline>
              </w:drawing>
            </w:r>
          </w:p>
        </w:tc>
        <w:tc>
          <w:tcPr>
            <w:tcW w:w="4632" w:type="dxa"/>
          </w:tcPr>
          <w:p w:rsidR="00CF5AE1" w:rsidRPr="00190647" w:rsidRDefault="00CF5AE1" w:rsidP="005D6433">
            <w:pPr>
              <w:pStyle w:val="Text"/>
              <w:spacing w:line="276" w:lineRule="auto"/>
              <w:rPr>
                <w:rFonts w:eastAsiaTheme="majorEastAsia" w:cstheme="majorBidi"/>
                <w:b/>
                <w:sz w:val="20"/>
                <w:szCs w:val="24"/>
              </w:rPr>
            </w:pPr>
            <w:r w:rsidRPr="00190647">
              <w:rPr>
                <w:rFonts w:eastAsiaTheme="majorEastAsia" w:cstheme="majorBidi"/>
                <w:b/>
                <w:sz w:val="20"/>
                <w:szCs w:val="24"/>
              </w:rPr>
              <w:t>W_photo_W210_01835_PR</w:t>
            </w:r>
          </w:p>
          <w:p w:rsidR="00C34312" w:rsidRPr="00E041F9" w:rsidRDefault="003B266B" w:rsidP="005D6433">
            <w:pPr>
              <w:pStyle w:val="Text"/>
              <w:spacing w:line="276" w:lineRule="auto"/>
              <w:jc w:val="left"/>
              <w:rPr>
                <w:sz w:val="20"/>
              </w:rPr>
            </w:pPr>
            <w:r w:rsidRPr="00E041F9">
              <w:rPr>
                <w:sz w:val="20"/>
              </w:rPr>
              <w:t>Selektives Fräsen mit Wirtgen Fräsen: Durch moderne Maschinentechnik können Deck-, Binder- und Tragschicht separat ausgebaut und dem Materi</w:t>
            </w:r>
            <w:bookmarkStart w:id="0" w:name="_GoBack"/>
            <w:bookmarkEnd w:id="0"/>
            <w:r w:rsidRPr="00E041F9">
              <w:rPr>
                <w:sz w:val="20"/>
              </w:rPr>
              <w:t>alkreislauf getrennt wieder zugeführt werden. Das erhöht die Nachhaltigkeit des Fräsgutrecyclings.</w:t>
            </w:r>
          </w:p>
          <w:p w:rsidR="003B266B" w:rsidRPr="00E041F9" w:rsidRDefault="003B266B" w:rsidP="005D6433">
            <w:pPr>
              <w:pStyle w:val="Text"/>
              <w:spacing w:line="276" w:lineRule="auto"/>
              <w:jc w:val="left"/>
              <w:rPr>
                <w:sz w:val="20"/>
              </w:rPr>
            </w:pPr>
          </w:p>
        </w:tc>
      </w:tr>
    </w:tbl>
    <w:p w:rsidR="00C34312" w:rsidRDefault="00C34312" w:rsidP="005D6433">
      <w:pPr>
        <w:pStyle w:val="Text"/>
        <w:spacing w:line="276" w:lineRule="auto"/>
      </w:pPr>
    </w:p>
    <w:p w:rsidR="005D6433" w:rsidRDefault="005D6433" w:rsidP="005D6433">
      <w:pPr>
        <w:pStyle w:val="Text"/>
        <w:spacing w:line="276" w:lineRule="auto"/>
      </w:pPr>
    </w:p>
    <w:p w:rsidR="005D6433" w:rsidRDefault="005D6433" w:rsidP="005D6433">
      <w:pPr>
        <w:pStyle w:val="Text"/>
        <w:spacing w:line="276" w:lineRule="auto"/>
      </w:pPr>
    </w:p>
    <w:p w:rsidR="005D6433" w:rsidRPr="00190647" w:rsidRDefault="005D6433" w:rsidP="005D6433">
      <w:pPr>
        <w:pStyle w:val="Text"/>
        <w:spacing w:line="276" w:lineRule="auto"/>
      </w:pPr>
    </w:p>
    <w:p w:rsidR="00DA3E4C" w:rsidRPr="00190647" w:rsidRDefault="00DA3E4C" w:rsidP="005D6433">
      <w:pPr>
        <w:pStyle w:val="Text"/>
        <w:spacing w:line="276" w:lineRule="auto"/>
      </w:pPr>
      <w:r w:rsidRPr="00190647">
        <w:rPr>
          <w:i/>
          <w:u w:val="single"/>
        </w:rPr>
        <w:t>Hinweis:</w:t>
      </w:r>
      <w:r w:rsidRPr="00190647">
        <w:rPr>
          <w:i/>
        </w:rPr>
        <w:t xml:space="preserve"> Diese Fotos dienen lediglich der Voransicht. Für den Abdruck in den Publikationen nutzen Sie bitte die Fotos in 300 dpi-Auflösung, die auf den Webseiten der Wirtgen GmbH /Wirtgen Group als Download zur Verfügung stehen.</w:t>
      </w:r>
    </w:p>
    <w:p w:rsidR="00DA3E4C" w:rsidRPr="00190647" w:rsidRDefault="00DA3E4C" w:rsidP="005D6433">
      <w:pPr>
        <w:pStyle w:val="Text"/>
        <w:spacing w:line="276" w:lineRule="auto"/>
      </w:pPr>
    </w:p>
    <w:p w:rsidR="00DA3E4C" w:rsidRPr="00190647" w:rsidRDefault="00DA3E4C" w:rsidP="005D6433">
      <w:pPr>
        <w:pStyle w:val="Text"/>
        <w:spacing w:line="276" w:lineRule="auto"/>
      </w:pPr>
    </w:p>
    <w:tbl>
      <w:tblPr>
        <w:tblStyle w:val="Basic"/>
        <w:tblW w:w="0" w:type="auto"/>
        <w:tblLook w:val="04A0" w:firstRow="1" w:lastRow="0" w:firstColumn="1" w:lastColumn="0" w:noHBand="0" w:noVBand="1"/>
      </w:tblPr>
      <w:tblGrid>
        <w:gridCol w:w="4784"/>
        <w:gridCol w:w="4740"/>
      </w:tblGrid>
      <w:tr w:rsidR="00DA3E4C" w:rsidRPr="00190647" w:rsidTr="004D135C">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DA3E4C" w:rsidRPr="00190647" w:rsidRDefault="00DA3E4C" w:rsidP="005D6433">
            <w:pPr>
              <w:pStyle w:val="HeadlineKontakte"/>
              <w:rPr>
                <w:rFonts w:eastAsia="Calibri" w:cs="Times New Roman"/>
                <w:caps w:val="0"/>
                <w:szCs w:val="22"/>
              </w:rPr>
            </w:pPr>
            <w:r w:rsidRPr="00190647">
              <w:rPr>
                <w:rFonts w:eastAsia="Calibri" w:cs="Times New Roman"/>
                <w:caps w:val="0"/>
                <w:szCs w:val="22"/>
              </w:rPr>
              <w:t xml:space="preserve">Weitere Informationen </w:t>
            </w:r>
          </w:p>
          <w:p w:rsidR="00DA3E4C" w:rsidRPr="00190647" w:rsidRDefault="00DA3E4C" w:rsidP="005D6433">
            <w:pPr>
              <w:pStyle w:val="HeadlineKontakte"/>
            </w:pPr>
            <w:r w:rsidRPr="00190647">
              <w:rPr>
                <w:rFonts w:eastAsia="Calibri" w:cs="Times New Roman"/>
                <w:caps w:val="0"/>
                <w:szCs w:val="22"/>
              </w:rPr>
              <w:t>erhalten Sie bei</w:t>
            </w:r>
            <w:r w:rsidRPr="00190647">
              <w:t>:</w:t>
            </w:r>
          </w:p>
          <w:p w:rsidR="00DA3E4C" w:rsidRPr="00190647" w:rsidRDefault="00DA3E4C" w:rsidP="005D6433">
            <w:pPr>
              <w:pStyle w:val="Text"/>
              <w:spacing w:line="276" w:lineRule="auto"/>
              <w:rPr>
                <w:lang w:val="en-US"/>
              </w:rPr>
            </w:pPr>
            <w:r w:rsidRPr="00190647">
              <w:rPr>
                <w:lang w:val="en-US"/>
              </w:rPr>
              <w:t>WIRTGEN GmbH</w:t>
            </w:r>
          </w:p>
          <w:p w:rsidR="00DA3E4C" w:rsidRPr="00190647" w:rsidRDefault="00DA3E4C" w:rsidP="005D6433">
            <w:pPr>
              <w:pStyle w:val="Text"/>
              <w:spacing w:line="276" w:lineRule="auto"/>
              <w:rPr>
                <w:lang w:val="en-US"/>
              </w:rPr>
            </w:pPr>
            <w:r w:rsidRPr="00190647">
              <w:rPr>
                <w:lang w:val="en-US"/>
              </w:rPr>
              <w:t>Corporate Communications</w:t>
            </w:r>
          </w:p>
          <w:p w:rsidR="00DA3E4C" w:rsidRPr="00190647" w:rsidRDefault="00DA3E4C" w:rsidP="005D6433">
            <w:pPr>
              <w:pStyle w:val="Text"/>
              <w:spacing w:line="276" w:lineRule="auto"/>
              <w:rPr>
                <w:lang w:val="en-US"/>
              </w:rPr>
            </w:pPr>
            <w:r w:rsidRPr="00190647">
              <w:rPr>
                <w:lang w:val="en-US"/>
              </w:rPr>
              <w:t>Michaela Adams, Mario Linnemann</w:t>
            </w:r>
          </w:p>
          <w:p w:rsidR="00DA3E4C" w:rsidRPr="00190647" w:rsidRDefault="00DA3E4C" w:rsidP="005D6433">
            <w:pPr>
              <w:pStyle w:val="Text"/>
              <w:spacing w:line="276" w:lineRule="auto"/>
            </w:pPr>
            <w:r w:rsidRPr="00190647">
              <w:t>Reinhard-Wirtgen-Straße 2</w:t>
            </w:r>
          </w:p>
          <w:p w:rsidR="00DA3E4C" w:rsidRPr="00190647" w:rsidRDefault="00DA3E4C" w:rsidP="005D6433">
            <w:pPr>
              <w:pStyle w:val="Text"/>
              <w:spacing w:line="276" w:lineRule="auto"/>
            </w:pPr>
            <w:r w:rsidRPr="00190647">
              <w:t xml:space="preserve">53578 </w:t>
            </w:r>
            <w:proofErr w:type="spellStart"/>
            <w:r w:rsidRPr="00190647">
              <w:t>Windhagen</w:t>
            </w:r>
            <w:proofErr w:type="spellEnd"/>
          </w:p>
          <w:p w:rsidR="00DA3E4C" w:rsidRPr="00190647" w:rsidRDefault="00DA3E4C" w:rsidP="005D6433">
            <w:pPr>
              <w:pStyle w:val="Text"/>
              <w:spacing w:line="276" w:lineRule="auto"/>
            </w:pPr>
            <w:r w:rsidRPr="00190647">
              <w:t>Deutschland</w:t>
            </w:r>
          </w:p>
          <w:p w:rsidR="00DA3E4C" w:rsidRPr="00190647" w:rsidRDefault="00DA3E4C" w:rsidP="005D6433">
            <w:pPr>
              <w:pStyle w:val="Text"/>
              <w:spacing w:line="276" w:lineRule="auto"/>
            </w:pPr>
          </w:p>
          <w:p w:rsidR="00DA3E4C" w:rsidRPr="00190647" w:rsidRDefault="00DA3E4C" w:rsidP="005D6433">
            <w:pPr>
              <w:pStyle w:val="Text"/>
              <w:spacing w:line="276" w:lineRule="auto"/>
            </w:pPr>
            <w:r w:rsidRPr="00190647">
              <w:t>Telefon: +49 (0) 2645 131 – 4510</w:t>
            </w:r>
          </w:p>
          <w:p w:rsidR="00DA3E4C" w:rsidRPr="00190647" w:rsidRDefault="00DA3E4C" w:rsidP="005D6433">
            <w:pPr>
              <w:pStyle w:val="Text"/>
              <w:spacing w:line="276" w:lineRule="auto"/>
            </w:pPr>
            <w:r w:rsidRPr="00190647">
              <w:t>Telefax: +49 (0) 2645 131 – 499</w:t>
            </w:r>
          </w:p>
          <w:p w:rsidR="00DA3E4C" w:rsidRPr="00190647" w:rsidRDefault="00DA3E4C" w:rsidP="005D6433">
            <w:pPr>
              <w:pStyle w:val="Text"/>
              <w:spacing w:line="276" w:lineRule="auto"/>
            </w:pPr>
            <w:r w:rsidRPr="00190647">
              <w:t>E-Mail: presse@wirtgen.com</w:t>
            </w:r>
          </w:p>
          <w:p w:rsidR="00DA3E4C" w:rsidRPr="00190647" w:rsidRDefault="00DA3E4C" w:rsidP="005D6433">
            <w:pPr>
              <w:pStyle w:val="Text"/>
              <w:spacing w:line="276" w:lineRule="auto"/>
            </w:pPr>
            <w:r w:rsidRPr="00190647">
              <w:t>www.wirtgen.com</w:t>
            </w:r>
          </w:p>
        </w:tc>
        <w:tc>
          <w:tcPr>
            <w:tcW w:w="4740" w:type="dxa"/>
            <w:tcBorders>
              <w:left w:val="single" w:sz="48" w:space="0" w:color="FFFFFF" w:themeColor="background1"/>
            </w:tcBorders>
          </w:tcPr>
          <w:p w:rsidR="00DA3E4C" w:rsidRPr="00190647" w:rsidRDefault="00DA3E4C" w:rsidP="005D6433">
            <w:pPr>
              <w:pStyle w:val="Text"/>
              <w:spacing w:line="276" w:lineRule="auto"/>
            </w:pPr>
          </w:p>
        </w:tc>
      </w:tr>
    </w:tbl>
    <w:p w:rsidR="00623458" w:rsidRPr="00190647" w:rsidRDefault="00623458" w:rsidP="005D6433">
      <w:pPr>
        <w:pStyle w:val="Text"/>
        <w:spacing w:line="276" w:lineRule="auto"/>
      </w:pPr>
    </w:p>
    <w:sectPr w:rsidR="00623458" w:rsidRPr="00190647"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E14" w:rsidRDefault="004D7E14" w:rsidP="00E55534">
      <w:r>
        <w:separator/>
      </w:r>
    </w:p>
  </w:endnote>
  <w:endnote w:type="continuationSeparator" w:id="0">
    <w:p w:rsidR="004D7E14" w:rsidRDefault="004D7E1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venirNextLTPro-Bold">
    <w:panose1 w:val="020B0803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5D6433">
                    <w:rPr>
                      <w:noProof/>
                    </w:rPr>
                    <w:t>04</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E14" w:rsidRDefault="004D7E14" w:rsidP="00E55534">
      <w:r>
        <w:separator/>
      </w:r>
    </w:p>
  </w:footnote>
  <w:footnote w:type="continuationSeparator" w:id="0">
    <w:p w:rsidR="004D7E14" w:rsidRDefault="004D7E14"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99.75pt;height:1499.75pt" o:bullet="t">
        <v:imagedata r:id="rId1" o:title="AZ_04a"/>
      </v:shape>
    </w:pict>
  </w:numPicBullet>
  <w:numPicBullet w:numPicBulletId="1">
    <w:pict>
      <v:shape id="_x0000_i1030" type="#_x0000_t75" style="width:7.45pt;height:7.4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1A56974"/>
    <w:multiLevelType w:val="hybridMultilevel"/>
    <w:tmpl w:val="139ED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E14"/>
    <w:rsid w:val="00024EFC"/>
    <w:rsid w:val="00042106"/>
    <w:rsid w:val="00045F0A"/>
    <w:rsid w:val="0005285B"/>
    <w:rsid w:val="00066D09"/>
    <w:rsid w:val="0009665C"/>
    <w:rsid w:val="000E2697"/>
    <w:rsid w:val="00103205"/>
    <w:rsid w:val="0012026F"/>
    <w:rsid w:val="00132055"/>
    <w:rsid w:val="001339ED"/>
    <w:rsid w:val="0014683F"/>
    <w:rsid w:val="00182A9C"/>
    <w:rsid w:val="00190647"/>
    <w:rsid w:val="001B16BB"/>
    <w:rsid w:val="001B3646"/>
    <w:rsid w:val="001F67E7"/>
    <w:rsid w:val="00217D66"/>
    <w:rsid w:val="00244981"/>
    <w:rsid w:val="0024720D"/>
    <w:rsid w:val="00253A2E"/>
    <w:rsid w:val="00265D84"/>
    <w:rsid w:val="002844EF"/>
    <w:rsid w:val="0029634D"/>
    <w:rsid w:val="002E765F"/>
    <w:rsid w:val="002F108B"/>
    <w:rsid w:val="00304D10"/>
    <w:rsid w:val="0031036B"/>
    <w:rsid w:val="0034191A"/>
    <w:rsid w:val="00343CC7"/>
    <w:rsid w:val="00383A88"/>
    <w:rsid w:val="00384A08"/>
    <w:rsid w:val="003A753A"/>
    <w:rsid w:val="003B266B"/>
    <w:rsid w:val="003E1CB6"/>
    <w:rsid w:val="003E3CF6"/>
    <w:rsid w:val="003E759F"/>
    <w:rsid w:val="003F4909"/>
    <w:rsid w:val="00403373"/>
    <w:rsid w:val="00406C81"/>
    <w:rsid w:val="00412545"/>
    <w:rsid w:val="00422562"/>
    <w:rsid w:val="00430BB0"/>
    <w:rsid w:val="00444B69"/>
    <w:rsid w:val="00463D7D"/>
    <w:rsid w:val="00476F4D"/>
    <w:rsid w:val="004828C0"/>
    <w:rsid w:val="004D7E14"/>
    <w:rsid w:val="00506409"/>
    <w:rsid w:val="005113F9"/>
    <w:rsid w:val="00530E32"/>
    <w:rsid w:val="005711A3"/>
    <w:rsid w:val="00573B2B"/>
    <w:rsid w:val="005A4F04"/>
    <w:rsid w:val="005B3697"/>
    <w:rsid w:val="005B5793"/>
    <w:rsid w:val="005D4735"/>
    <w:rsid w:val="005D6433"/>
    <w:rsid w:val="00623458"/>
    <w:rsid w:val="006330A2"/>
    <w:rsid w:val="00642EB6"/>
    <w:rsid w:val="006B73C9"/>
    <w:rsid w:val="006C1E9D"/>
    <w:rsid w:val="006E3D62"/>
    <w:rsid w:val="006F7602"/>
    <w:rsid w:val="00722A17"/>
    <w:rsid w:val="00757B83"/>
    <w:rsid w:val="007658CA"/>
    <w:rsid w:val="00766EC9"/>
    <w:rsid w:val="0078756A"/>
    <w:rsid w:val="00791A69"/>
    <w:rsid w:val="00794830"/>
    <w:rsid w:val="00797CAA"/>
    <w:rsid w:val="007B663F"/>
    <w:rsid w:val="007C2658"/>
    <w:rsid w:val="007E20D0"/>
    <w:rsid w:val="00820315"/>
    <w:rsid w:val="00822CF6"/>
    <w:rsid w:val="008307F0"/>
    <w:rsid w:val="00843B45"/>
    <w:rsid w:val="00847049"/>
    <w:rsid w:val="00863129"/>
    <w:rsid w:val="00883D85"/>
    <w:rsid w:val="008B587B"/>
    <w:rsid w:val="008C2DB2"/>
    <w:rsid w:val="008D4AE7"/>
    <w:rsid w:val="008D770E"/>
    <w:rsid w:val="0090337E"/>
    <w:rsid w:val="009A7D80"/>
    <w:rsid w:val="009A7E90"/>
    <w:rsid w:val="009C10D5"/>
    <w:rsid w:val="009C2378"/>
    <w:rsid w:val="009D016F"/>
    <w:rsid w:val="009E251D"/>
    <w:rsid w:val="00A171F4"/>
    <w:rsid w:val="00A24EFC"/>
    <w:rsid w:val="00A80677"/>
    <w:rsid w:val="00A977CE"/>
    <w:rsid w:val="00AD131F"/>
    <w:rsid w:val="00AF3B3A"/>
    <w:rsid w:val="00AF6569"/>
    <w:rsid w:val="00B06265"/>
    <w:rsid w:val="00B5695F"/>
    <w:rsid w:val="00B84A18"/>
    <w:rsid w:val="00B90F78"/>
    <w:rsid w:val="00BA720C"/>
    <w:rsid w:val="00BB2210"/>
    <w:rsid w:val="00BB376B"/>
    <w:rsid w:val="00BD1058"/>
    <w:rsid w:val="00BF56B2"/>
    <w:rsid w:val="00C03396"/>
    <w:rsid w:val="00C1451A"/>
    <w:rsid w:val="00C34312"/>
    <w:rsid w:val="00C457C3"/>
    <w:rsid w:val="00C644CA"/>
    <w:rsid w:val="00C73005"/>
    <w:rsid w:val="00CF36C9"/>
    <w:rsid w:val="00CF5AE1"/>
    <w:rsid w:val="00D166AC"/>
    <w:rsid w:val="00D24067"/>
    <w:rsid w:val="00DA3E4C"/>
    <w:rsid w:val="00DB62F1"/>
    <w:rsid w:val="00E041F9"/>
    <w:rsid w:val="00E14608"/>
    <w:rsid w:val="00E21E67"/>
    <w:rsid w:val="00E30EBF"/>
    <w:rsid w:val="00E3491D"/>
    <w:rsid w:val="00E52D70"/>
    <w:rsid w:val="00E55534"/>
    <w:rsid w:val="00E914D1"/>
    <w:rsid w:val="00EA1B19"/>
    <w:rsid w:val="00ED7F3E"/>
    <w:rsid w:val="00EE134E"/>
    <w:rsid w:val="00F20920"/>
    <w:rsid w:val="00F56318"/>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58597-582C-4FC4-91AE-1A53883BD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GmbH_Vorlage_neu.dotx</Template>
  <TotalTime>0</TotalTime>
  <Pages>4</Pages>
  <Words>896</Words>
  <Characters>5646</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6529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Erner Michael</dc:creator>
  <cp:lastModifiedBy>Schüler Angelika</cp:lastModifiedBy>
  <cp:revision>11</cp:revision>
  <cp:lastPrinted>2018-07-06T11:34:00Z</cp:lastPrinted>
  <dcterms:created xsi:type="dcterms:W3CDTF">2018-07-06T11:20:00Z</dcterms:created>
  <dcterms:modified xsi:type="dcterms:W3CDTF">2018-07-11T09:20:00Z</dcterms:modified>
</cp:coreProperties>
</file>